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545</w:t>
      </w:r>
      <w:r>
        <w:rPr>
          <w:rFonts w:ascii="Times New Roman" w:eastAsia="Times New Roman" w:hAnsi="Times New Roman" w:cs="Times New Roman"/>
          <w:sz w:val="22"/>
          <w:szCs w:val="22"/>
        </w:rPr>
        <w:t>-200</w:t>
      </w:r>
      <w:r>
        <w:rPr>
          <w:rFonts w:ascii="Times New Roman" w:eastAsia="Times New Roman" w:hAnsi="Times New Roman" w:cs="Times New Roman"/>
          <w:sz w:val="22"/>
          <w:szCs w:val="22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>/20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12"/>
          <w:szCs w:val="12"/>
        </w:rPr>
      </w:pPr>
    </w:p>
    <w:p>
      <w:pPr>
        <w:spacing w:before="0" w:after="0"/>
        <w:ind w:right="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ию</w:t>
      </w:r>
      <w:r>
        <w:rPr>
          <w:rFonts w:ascii="Times New Roman" w:eastAsia="Times New Roman" w:hAnsi="Times New Roman" w:cs="Times New Roman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г. Нефтеюганск</w:t>
      </w:r>
    </w:p>
    <w:p>
      <w:pPr>
        <w:spacing w:before="0" w:after="0"/>
        <w:ind w:right="20"/>
        <w:jc w:val="both"/>
        <w:rPr>
          <w:sz w:val="12"/>
          <w:szCs w:val="12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3 Нефтеюганского судебного района Ханты-Мансийского автономного округа – Югры Агзямова Р.В.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(628309 ХМАО-Югра, г. Нефтеюганск, 1 мкр-н, дом 30), рассмотрев в открытом судебном заседании дело об административном правонарушении в отношении: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Мамзонова Геннадия Валентиновича, </w:t>
      </w:r>
      <w:r>
        <w:rPr>
          <w:rStyle w:val="cat-ExternalSystemDefinedgrp-50rplc-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assportDatagrp-40rplc-7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52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работающего генеральным директором ООО «Юграэнергостройсервис», проживающего по адресу: </w:t>
      </w:r>
      <w:r>
        <w:rPr>
          <w:rStyle w:val="cat-UserDefinedgrp-53rplc-1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PassportDatagrp-41rplc-13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48rplc-1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49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51rplc-1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54rplc-1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ч. 1 ст. 15.33.2 Кодекса Российской Федерации об административных правонарушениях,</w:t>
      </w:r>
    </w:p>
    <w:p>
      <w:pPr>
        <w:spacing w:before="0" w:after="0"/>
        <w:jc w:val="both"/>
        <w:rPr>
          <w:sz w:val="12"/>
          <w:szCs w:val="12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 С Т А Н О В И Л:</w:t>
      </w:r>
    </w:p>
    <w:p>
      <w:pPr>
        <w:spacing w:before="0" w:after="0"/>
        <w:jc w:val="both"/>
        <w:rPr>
          <w:sz w:val="12"/>
          <w:szCs w:val="12"/>
        </w:rPr>
      </w:pP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Мамзонов Г.В., являясь генеральным директором ООО «Юграэнергостройсервис», зарегистрированного по адресу: ХМАО-Югра, г. Нефтеюганск, ул. Строителей, стр. 3</w:t>
      </w:r>
      <w:r>
        <w:rPr>
          <w:rFonts w:ascii="Times New Roman" w:eastAsia="Times New Roman" w:hAnsi="Times New Roman" w:cs="Times New Roman"/>
          <w:sz w:val="26"/>
          <w:szCs w:val="26"/>
        </w:rPr>
        <w:t>А/</w:t>
      </w:r>
      <w:r>
        <w:rPr>
          <w:rFonts w:ascii="Times New Roman" w:eastAsia="Times New Roman" w:hAnsi="Times New Roman" w:cs="Times New Roman"/>
          <w:sz w:val="26"/>
          <w:szCs w:val="26"/>
        </w:rPr>
        <w:t>9, помещ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в нарушение пп. 1-3 п.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ст.11 Федерального Закона от 01.04.1996 № 27-ФЗ «Об индивидуальном (персонифицированном) учете в системе обязательного пенсионн</w:t>
      </w:r>
      <w:r>
        <w:rPr>
          <w:rFonts w:ascii="Times New Roman" w:eastAsia="Times New Roman" w:hAnsi="Times New Roman" w:cs="Times New Roman"/>
          <w:sz w:val="26"/>
          <w:szCs w:val="26"/>
        </w:rPr>
        <w:t>ого страхования», 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предоставил в </w:t>
      </w:r>
      <w:r>
        <w:rPr>
          <w:rFonts w:ascii="Times New Roman" w:eastAsia="Times New Roman" w:hAnsi="Times New Roman" w:cs="Times New Roman"/>
          <w:sz w:val="26"/>
          <w:szCs w:val="26"/>
        </w:rPr>
        <w:t>орган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Пенсионного фонда Российской Федерации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сведения по форме ЕФС-1 раздел 1, подраздел 1.2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(СТАЖ) </w:t>
      </w:r>
      <w:r>
        <w:rPr>
          <w:rFonts w:ascii="Times New Roman" w:eastAsia="Times New Roman" w:hAnsi="Times New Roman" w:cs="Times New Roman"/>
          <w:sz w:val="26"/>
          <w:szCs w:val="26"/>
        </w:rPr>
        <w:t>за 2025 год</w:t>
      </w:r>
      <w:r>
        <w:rPr>
          <w:rFonts w:ascii="Times New Roman" w:eastAsia="Times New Roman" w:hAnsi="Times New Roman" w:cs="Times New Roman"/>
          <w:sz w:val="26"/>
          <w:szCs w:val="26"/>
        </w:rPr>
        <w:t>, во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исполнение Уведомления об устранении ошибок </w:t>
      </w:r>
      <w:r>
        <w:rPr>
          <w:rFonts w:ascii="Times New Roman" w:eastAsia="Times New Roman" w:hAnsi="Times New Roman" w:cs="Times New Roman"/>
          <w:sz w:val="26"/>
          <w:szCs w:val="26"/>
        </w:rPr>
        <w:t>и (</w:t>
      </w:r>
      <w:r>
        <w:rPr>
          <w:rFonts w:ascii="Times New Roman" w:eastAsia="Times New Roman" w:hAnsi="Times New Roman" w:cs="Times New Roman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несоответствий между представленными страхователем сведениями и сведениями, имеющимися у </w:t>
      </w:r>
      <w:r>
        <w:rPr>
          <w:rFonts w:ascii="Times New Roman" w:eastAsia="Times New Roman" w:hAnsi="Times New Roman" w:cs="Times New Roman"/>
          <w:sz w:val="26"/>
          <w:szCs w:val="26"/>
        </w:rPr>
        <w:t>Фонда 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енсионного </w:t>
      </w:r>
      <w:r>
        <w:rPr>
          <w:rFonts w:ascii="Times New Roman" w:eastAsia="Times New Roman" w:hAnsi="Times New Roman" w:cs="Times New Roman"/>
          <w:sz w:val="26"/>
          <w:szCs w:val="26"/>
        </w:rPr>
        <w:t>и социального страхования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Российской Федерации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которые согласно ст. 17 Федерального Закона от 01.04.1996 г. № 27-ФЗ «Об индивидуальном (персонифицированном) учете в системе обязательного пенсионного страхования» страхователь должен был представить в течении 5 (пяти) рабочих дней в орган контроля за уплатой страховых взносов по месту своего учета со дня получения. Срок предоставления отчета ЕФС-1 раздел 1, подраздел 1.2 </w:t>
      </w:r>
      <w:r>
        <w:rPr>
          <w:rFonts w:ascii="Times New Roman" w:eastAsia="Times New Roman" w:hAnsi="Times New Roman" w:cs="Times New Roman"/>
          <w:sz w:val="26"/>
          <w:szCs w:val="26"/>
        </w:rPr>
        <w:t>«Сведения о страховом стаже»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 2025 год до 24:00 26.01.2026, срок устранения расхождений во исполнение указанного Уведомления - не позднее </w:t>
      </w:r>
      <w:r>
        <w:rPr>
          <w:rFonts w:ascii="Times New Roman" w:eastAsia="Times New Roman" w:hAnsi="Times New Roman" w:cs="Times New Roman"/>
          <w:sz w:val="26"/>
          <w:szCs w:val="26"/>
        </w:rPr>
        <w:t>17</w:t>
      </w:r>
      <w:r>
        <w:rPr>
          <w:rFonts w:ascii="Times New Roman" w:eastAsia="Times New Roman" w:hAnsi="Times New Roman" w:cs="Times New Roman"/>
          <w:sz w:val="26"/>
          <w:szCs w:val="26"/>
        </w:rPr>
        <w:t>.02.2026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6"/>
          <w:szCs w:val="26"/>
        </w:rPr>
        <w:t>Мамзонов Г.В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>извещенный судом о времени и месте рассмотрения дела надлежащим образом, не явился, просил рассмотреть дело в его отсутствие, с правонарушением согласен, что следует из заявления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 таких обстоятельствах, в соответствии с требованиями ч. 2 ст. 25.1 КоАП РФ, а также исходя из положений п.6 постановления Пленума ВС РФ от 24.03.2005 №5 «О некоторых вопросах, возникающих у судов при применении КоАП РФ» и п. 14 постановления Пленума ВС РФ от 27.12.2007 №52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Мамзонова Г.В</w:t>
      </w:r>
      <w:r>
        <w:rPr>
          <w:rFonts w:ascii="Times New Roman" w:eastAsia="Times New Roman" w:hAnsi="Times New Roman" w:cs="Times New Roman"/>
          <w:sz w:val="26"/>
          <w:szCs w:val="26"/>
        </w:rPr>
        <w:t>. в е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отсутствие.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судья, исследовав материалы дела, считает, что вина </w:t>
      </w:r>
      <w:r>
        <w:rPr>
          <w:rFonts w:ascii="Times New Roman" w:eastAsia="Times New Roman" w:hAnsi="Times New Roman" w:cs="Times New Roman"/>
          <w:sz w:val="26"/>
          <w:szCs w:val="26"/>
        </w:rPr>
        <w:t>Мамзонова Г.В</w:t>
      </w:r>
      <w:r>
        <w:rPr>
          <w:rFonts w:ascii="Times New Roman" w:eastAsia="Times New Roman" w:hAnsi="Times New Roman" w:cs="Times New Roman"/>
          <w:sz w:val="26"/>
          <w:szCs w:val="26"/>
        </w:rPr>
        <w:t>. в совершении правонарушения полностью доказана и подтверждается следующими доказательствами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55rplc-3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05.06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, согласно которому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генеральный </w:t>
      </w:r>
      <w:r>
        <w:rPr>
          <w:rFonts w:ascii="Times New Roman" w:eastAsia="Times New Roman" w:hAnsi="Times New Roman" w:cs="Times New Roman"/>
          <w:sz w:val="26"/>
          <w:szCs w:val="26"/>
        </w:rPr>
        <w:t>директор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Мамзонов Г.В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представил с нарушением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установленного законодательством Российской Федерации срока сведения ПУ по форме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ЕФС-1 раздел 1, подраздел 1.2 «Сведения о страховом стаже» за 2025 </w:t>
      </w:r>
      <w:r>
        <w:rPr>
          <w:rFonts w:ascii="Times New Roman" w:eastAsia="Times New Roman" w:hAnsi="Times New Roman" w:cs="Times New Roman"/>
          <w:sz w:val="26"/>
          <w:szCs w:val="26"/>
        </w:rPr>
        <w:t>за 2025 год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выпиской из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ЕГРЮЛ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Филиала </w:t>
      </w:r>
      <w:r>
        <w:rPr>
          <w:rFonts w:ascii="Times New Roman" w:eastAsia="Times New Roman" w:hAnsi="Times New Roman" w:cs="Times New Roman"/>
          <w:sz w:val="26"/>
          <w:szCs w:val="26"/>
        </w:rPr>
        <w:t>ООО «Юграэнергостройсервис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- информацией по должностному лицу организации;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уведомлением об устранении ошибок и (или) несоответствий между представленными страхователем сведениями и сведениями, имеющимися у Пенсионного фонда РФ от </w:t>
      </w:r>
      <w:r>
        <w:rPr>
          <w:rFonts w:ascii="Times New Roman" w:eastAsia="Times New Roman" w:hAnsi="Times New Roman" w:cs="Times New Roman"/>
          <w:sz w:val="26"/>
          <w:szCs w:val="26"/>
        </w:rPr>
        <w:t>10.02</w:t>
      </w:r>
      <w:r>
        <w:rPr>
          <w:rFonts w:ascii="Times New Roman" w:eastAsia="Times New Roman" w:hAnsi="Times New Roman" w:cs="Times New Roman"/>
          <w:sz w:val="26"/>
          <w:szCs w:val="26"/>
        </w:rPr>
        <w:t>.2026; извещением о доставке: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уведомление о времени и месте составления протокола об административном правонарушении от </w:t>
      </w:r>
      <w:r>
        <w:rPr>
          <w:rFonts w:ascii="Times New Roman" w:eastAsia="Times New Roman" w:hAnsi="Times New Roman" w:cs="Times New Roman"/>
          <w:sz w:val="26"/>
          <w:szCs w:val="26"/>
        </w:rPr>
        <w:t>02.06</w:t>
      </w:r>
      <w:r>
        <w:rPr>
          <w:rFonts w:ascii="Times New Roman" w:eastAsia="Times New Roman" w:hAnsi="Times New Roman" w:cs="Times New Roman"/>
          <w:sz w:val="26"/>
          <w:szCs w:val="26"/>
        </w:rPr>
        <w:t>.2026, извещением о доставке, выпиской из журнала телефонограмм, факсограмм и электронных сообщений, списком внутренних почтовых отправлений, отчетом об отслеживании отправления с почтовым идентификатором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widowControl w:val="0"/>
        <w:tabs>
          <w:tab w:val="left" w:pos="567"/>
          <w:tab w:val="left" w:pos="709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актом о выявлении правонарушения от 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>.04.2026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- списком внутренних почтовых отправлений о направлении копии протокола об административн</w:t>
      </w:r>
      <w:r>
        <w:rPr>
          <w:rFonts w:ascii="Times New Roman" w:eastAsia="Times New Roman" w:hAnsi="Times New Roman" w:cs="Times New Roman"/>
          <w:sz w:val="26"/>
          <w:szCs w:val="26"/>
        </w:rPr>
        <w:t>ом правонаруше</w:t>
      </w:r>
      <w:r>
        <w:rPr>
          <w:rFonts w:ascii="Times New Roman" w:eastAsia="Times New Roman" w:hAnsi="Times New Roman" w:cs="Times New Roman"/>
          <w:sz w:val="26"/>
          <w:szCs w:val="26"/>
        </w:rPr>
        <w:t>нии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Все доказательства соответствуют требованиям, предусмотренным ст. 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Все доказательства соответствуют требованиям, предусмотренным ст. 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>
      <w:pPr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В силу пп. 1-3 п. 2 ст. 11 Федерального Закона от 01.04.1996 № 27-ФЗ «Об индивидуальном (персонифицированном) учете в системе обязательного пенсионного страхования» страхователь 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документы:1) страховой номер индивидуального лицевого счета;2) фамилию, имя и отчество;3) периоды работы (деятельности), в том числе периоды работы (деятельности), включаемые в стаж для определения права на досрочное назначение пенсии или на повышение фиксированной выплаты к пенсии.</w:t>
      </w:r>
    </w:p>
    <w:p>
      <w:pPr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нарушение вышеуказанных норм, </w:t>
      </w:r>
      <w:r>
        <w:rPr>
          <w:rFonts w:ascii="Times New Roman" w:eastAsia="Times New Roman" w:hAnsi="Times New Roman" w:cs="Times New Roman"/>
          <w:sz w:val="25"/>
          <w:szCs w:val="25"/>
        </w:rPr>
        <w:t>Мамзонов Г.В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в установленные сроки не предоставил сведения ПУ по форме ЕФС-1 раздел 1, подраздел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1.2 «Сведения о страховом стаже» </w:t>
      </w:r>
      <w:r>
        <w:rPr>
          <w:rFonts w:ascii="Times New Roman" w:eastAsia="Times New Roman" w:hAnsi="Times New Roman" w:cs="Times New Roman"/>
          <w:sz w:val="25"/>
          <w:szCs w:val="25"/>
        </w:rPr>
        <w:t>за 2025 год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во исполнение Уведомления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об устранении ошибок и (или) несоответствий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Статьей 2.4 Кодекса Российской Федерации об административных правонарушениях предусмотрено, что административной ответственности подлежит должностное лицо в случае совершения им административного правонарушения в связи с неисполнением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должностного лица </w:t>
      </w:r>
      <w:r>
        <w:rPr>
          <w:rFonts w:ascii="Times New Roman" w:eastAsia="Times New Roman" w:hAnsi="Times New Roman" w:cs="Times New Roman"/>
          <w:sz w:val="26"/>
          <w:szCs w:val="26"/>
        </w:rPr>
        <w:t>Мамзонова Г.В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 квалифицирует по ч. 1 ст. 15.33.2 Кодекса Российской Федерации об административных правонарушениях, как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 равно представление таких </w:t>
      </w:r>
      <w:r>
        <w:rPr>
          <w:rFonts w:ascii="Times New Roman" w:eastAsia="Times New Roman" w:hAnsi="Times New Roman" w:cs="Times New Roman"/>
          <w:sz w:val="26"/>
          <w:szCs w:val="26"/>
        </w:rPr>
        <w:t>сведений в неполном объеме,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 исключением случаев, </w:t>
      </w:r>
      <w:r>
        <w:rPr>
          <w:rFonts w:ascii="Times New Roman" w:eastAsia="Times New Roman" w:hAnsi="Times New Roman" w:cs="Times New Roman"/>
          <w:sz w:val="26"/>
          <w:szCs w:val="26"/>
        </w:rPr>
        <w:t>предусмотренных частью 2 настоящей статьи.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При назначении наказания мировой судья учитывает характер совершенного правонарушения, личность лица, привлекаемого к административной ответственности, его имущественное положение.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мировой судья признает признание вины.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отягчающих административную ответственность, предусмотренных ст. 4.3 Кодекса Российской Федерации об административных правонарушениях, мировой судья не усматривает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 учётом изложенного, руководствуясь ст.ст. 29.9 ч.1, 29.10, 32.2 Кодекса Российской Федерации об административных правонарушениях, мировой судья</w:t>
      </w:r>
    </w:p>
    <w:p>
      <w:pPr>
        <w:spacing w:before="0" w:after="0"/>
        <w:jc w:val="both"/>
        <w:rPr>
          <w:sz w:val="12"/>
          <w:szCs w:val="12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 О С Т А Н О В И Л:</w:t>
      </w:r>
    </w:p>
    <w:p>
      <w:pPr>
        <w:spacing w:before="0" w:after="0"/>
        <w:jc w:val="center"/>
        <w:rPr>
          <w:sz w:val="12"/>
          <w:szCs w:val="12"/>
        </w:rPr>
      </w:pP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генерального директора ООО «Юграэнергостройсервис» Мамзонова Геннадия Валентиновича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 виновн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ч. 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ст. 15.33.2 Кодекса Российской Федерации об административных правонарушениях, и назначить </w:t>
      </w:r>
      <w:r>
        <w:rPr>
          <w:rFonts w:ascii="Times New Roman" w:eastAsia="Times New Roman" w:hAnsi="Times New Roman" w:cs="Times New Roman"/>
          <w:sz w:val="26"/>
          <w:szCs w:val="26"/>
        </w:rPr>
        <w:t>ему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00 (</w:t>
      </w:r>
      <w:r>
        <w:rPr>
          <w:rFonts w:ascii="Times New Roman" w:eastAsia="Times New Roman" w:hAnsi="Times New Roman" w:cs="Times New Roman"/>
          <w:sz w:val="26"/>
          <w:szCs w:val="26"/>
        </w:rPr>
        <w:t>триста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рублей.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Штраф подлежит уплате по реквизитам: </w:t>
      </w:r>
      <w:r>
        <w:rPr>
          <w:rFonts w:ascii="Times New Roman" w:eastAsia="Times New Roman" w:hAnsi="Times New Roman" w:cs="Times New Roman"/>
          <w:sz w:val="26"/>
          <w:szCs w:val="26"/>
        </w:rPr>
        <w:t>Получатель: УФК по Ханты-Мансийскому автономному округу - Югре (ОСФР по ХМАО - Югре, л/с 04874Ф87010)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ИНН 8601002078/ КПП 860101001 БИК ТОФК - 007162163 ОКТМО 71875000 Р/счет - 03100643000000018700 Кор/счет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40102810245370000007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Банк получателя - ОКЦ № 8 Уральского ГУ Банка России//УФК по Ханты-Мансийскому автономному округу - Югре г. Ханты-Мансийск КБК 79711601230060001140 УИН 797027000000004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0742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за неуплату административного штрафа </w:t>
      </w:r>
      <w:r>
        <w:rPr>
          <w:rFonts w:ascii="Times New Roman" w:eastAsia="Times New Roman" w:hAnsi="Times New Roman" w:cs="Times New Roman"/>
          <w:sz w:val="26"/>
          <w:szCs w:val="26"/>
        </w:rPr>
        <w:t>в установленный срок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Нефтеюганский районный суд ХМАО-Югры в течение десяти </w:t>
      </w:r>
      <w:r>
        <w:rPr>
          <w:rFonts w:ascii="Times New Roman" w:eastAsia="Times New Roman" w:hAnsi="Times New Roman" w:cs="Times New Roman"/>
          <w:sz w:val="26"/>
          <w:szCs w:val="26"/>
        </w:rPr>
        <w:t>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</w:pPr>
    </w:p>
    <w:p>
      <w:pPr>
        <w:spacing w:before="0" w:after="0"/>
        <w:jc w:val="both"/>
        <w:rPr>
          <w:sz w:val="26"/>
          <w:szCs w:val="26"/>
        </w:rPr>
      </w:pPr>
    </w:p>
    <w:p>
      <w:pPr>
        <w:tabs>
          <w:tab w:val="left" w:pos="6570"/>
        </w:tabs>
        <w:spacing w:before="0" w:after="0"/>
        <w:ind w:left="1560"/>
        <w:rPr>
          <w:sz w:val="26"/>
          <w:szCs w:val="26"/>
        </w:rPr>
      </w:pPr>
      <w:r>
        <w:rPr>
          <w:sz w:val="26"/>
          <w:szCs w:val="26"/>
        </w:rPr>
        <w:tab/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Р.В. Агзямова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12"/>
          <w:szCs w:val="12"/>
        </w:rPr>
      </w:pPr>
    </w:p>
    <w:tbl>
      <w:tblPr>
        <w:tblW w:w="10465" w:type="dxa"/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05"/>
        <w:gridCol w:w="5660"/>
      </w:tblGrid>
      <w:tr>
        <w:tblPrEx>
          <w:tblW w:w="10465" w:type="dxa"/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1"/>
        </w:trPr>
        <w:tc>
          <w:tcPr>
            <w:tcW w:w="4786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hyperlink r:id="rId4" w:history="1"/>
          </w:p>
        </w:tc>
        <w:tc>
          <w:tcPr>
            <w:tcW w:w="5679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</w:p>
        </w:tc>
      </w:tr>
    </w:tbl>
    <w:p>
      <w:pPr>
        <w:spacing w:before="0" w:after="0"/>
        <w:ind w:left="567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ExternalSystemDefinedgrp-50rplc-6">
    <w:name w:val="cat-ExternalSystemDefined grp-50 rplc-6"/>
    <w:basedOn w:val="DefaultParagraphFont"/>
  </w:style>
  <w:style w:type="character" w:customStyle="1" w:styleId="cat-PassportDatagrp-40rplc-7">
    <w:name w:val="cat-PassportData grp-40 rplc-7"/>
    <w:basedOn w:val="DefaultParagraphFont"/>
  </w:style>
  <w:style w:type="character" w:customStyle="1" w:styleId="cat-UserDefinedgrp-52rplc-8">
    <w:name w:val="cat-UserDefined grp-52 rplc-8"/>
    <w:basedOn w:val="DefaultParagraphFont"/>
  </w:style>
  <w:style w:type="character" w:customStyle="1" w:styleId="cat-UserDefinedgrp-53rplc-11">
    <w:name w:val="cat-UserDefined grp-53 rplc-11"/>
    <w:basedOn w:val="DefaultParagraphFont"/>
  </w:style>
  <w:style w:type="character" w:customStyle="1" w:styleId="cat-PassportDatagrp-41rplc-13">
    <w:name w:val="cat-PassportData grp-41 rplc-13"/>
    <w:basedOn w:val="DefaultParagraphFont"/>
  </w:style>
  <w:style w:type="character" w:customStyle="1" w:styleId="cat-ExternalSystemDefinedgrp-48rplc-14">
    <w:name w:val="cat-ExternalSystemDefined grp-48 rplc-14"/>
    <w:basedOn w:val="DefaultParagraphFont"/>
  </w:style>
  <w:style w:type="character" w:customStyle="1" w:styleId="cat-ExternalSystemDefinedgrp-49rplc-15">
    <w:name w:val="cat-ExternalSystemDefined grp-49 rplc-15"/>
    <w:basedOn w:val="DefaultParagraphFont"/>
  </w:style>
  <w:style w:type="character" w:customStyle="1" w:styleId="cat-ExternalSystemDefinedgrp-51rplc-16">
    <w:name w:val="cat-ExternalSystemDefined grp-51 rplc-16"/>
    <w:basedOn w:val="DefaultParagraphFont"/>
  </w:style>
  <w:style w:type="character" w:customStyle="1" w:styleId="cat-UserDefinedgrp-54rplc-18">
    <w:name w:val="cat-UserDefined grp-54 rplc-18"/>
    <w:basedOn w:val="DefaultParagraphFont"/>
  </w:style>
  <w:style w:type="character" w:customStyle="1" w:styleId="cat-UserDefinedgrp-55rplc-34">
    <w:name w:val="cat-UserDefined grp-55 rplc-34"/>
    <w:basedOn w:val="DefaultParagraphFont"/>
  </w:style>
  <w:style w:type="character" w:customStyle="1" w:styleId="cat-UserDefinedgrp-56rplc-57">
    <w:name w:val="cat-UserDefined grp-56 rplc-57"/>
    <w:basedOn w:val="DefaultParagraphFont"/>
  </w:style>
  <w:style w:type="character" w:customStyle="1" w:styleId="cat-UserDefinedgrp-57rplc-60">
    <w:name w:val="cat-UserDefined grp-57 rplc-6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mirsud86.ru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